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7" w:rsidRDefault="001C75E9">
      <w:pPr>
        <w:contextualSpacing w:val="0"/>
        <w:jc w:val="center"/>
        <w:rPr>
          <w:b/>
        </w:rPr>
      </w:pPr>
      <w:r>
        <w:rPr>
          <w:b/>
        </w:rPr>
        <w:t xml:space="preserve">ПРЕДЛОЖЕНИЯ </w:t>
      </w:r>
    </w:p>
    <w:p w:rsidR="00016867" w:rsidRPr="001C75E9" w:rsidRDefault="00A00A4F">
      <w:pPr>
        <w:contextualSpacing w:val="0"/>
        <w:jc w:val="center"/>
        <w:rPr>
          <w:b/>
          <w:lang w:val="ru-RU"/>
        </w:rPr>
      </w:pPr>
      <w:r>
        <w:rPr>
          <w:b/>
        </w:rPr>
        <w:t>по организации деятельности М</w:t>
      </w:r>
      <w:proofErr w:type="spellStart"/>
      <w:r w:rsidR="001C75E9">
        <w:rPr>
          <w:b/>
          <w:lang w:val="ru-RU"/>
        </w:rPr>
        <w:t>ежрегиональной</w:t>
      </w:r>
      <w:proofErr w:type="spellEnd"/>
      <w:r w:rsidR="001C75E9">
        <w:rPr>
          <w:b/>
          <w:lang w:val="ru-RU"/>
        </w:rPr>
        <w:t xml:space="preserve"> Ассоциации теоретиков государства и права (МАТ</w:t>
      </w:r>
      <w:proofErr w:type="spellStart"/>
      <w:r>
        <w:rPr>
          <w:b/>
        </w:rPr>
        <w:t>ГиП</w:t>
      </w:r>
      <w:proofErr w:type="spellEnd"/>
      <w:r w:rsidR="001C75E9">
        <w:rPr>
          <w:b/>
          <w:lang w:val="ru-RU"/>
        </w:rPr>
        <w:t>)</w:t>
      </w:r>
    </w:p>
    <w:p w:rsidR="00016867" w:rsidRDefault="00A00A4F">
      <w:pPr>
        <w:contextualSpacing w:val="0"/>
        <w:jc w:val="center"/>
        <w:rPr>
          <w:b/>
        </w:rPr>
      </w:pPr>
      <w:r>
        <w:rPr>
          <w:b/>
        </w:rPr>
        <w:t>“1</w:t>
      </w:r>
      <w:r w:rsidR="001C75E9">
        <w:rPr>
          <w:b/>
          <w:lang w:val="ru-RU"/>
        </w:rPr>
        <w:t>2</w:t>
      </w:r>
      <w:r>
        <w:rPr>
          <w:b/>
        </w:rPr>
        <w:t xml:space="preserve"> шагов к развитию”</w:t>
      </w:r>
    </w:p>
    <w:p w:rsidR="00016867" w:rsidRDefault="00016867">
      <w:pPr>
        <w:contextualSpacing w:val="0"/>
        <w:jc w:val="center"/>
        <w:rPr>
          <w:b/>
        </w:rPr>
      </w:pPr>
    </w:p>
    <w:p w:rsidR="00016867" w:rsidRDefault="00A00A4F">
      <w:pPr>
        <w:contextualSpacing w:val="0"/>
        <w:jc w:val="both"/>
      </w:pPr>
      <w:r>
        <w:tab/>
        <w:t xml:space="preserve">Настоящие предложения </w:t>
      </w:r>
      <w:r w:rsidR="001C75E9">
        <w:rPr>
          <w:lang w:val="ru-RU"/>
        </w:rPr>
        <w:t>разработаны в</w:t>
      </w:r>
      <w:r>
        <w:t xml:space="preserve"> цел</w:t>
      </w:r>
      <w:proofErr w:type="spellStart"/>
      <w:r w:rsidR="001C75E9">
        <w:rPr>
          <w:lang w:val="ru-RU"/>
        </w:rPr>
        <w:t>ях</w:t>
      </w:r>
      <w:proofErr w:type="spellEnd"/>
      <w:r>
        <w:t xml:space="preserve"> повышения эффективности </w:t>
      </w:r>
      <w:r w:rsidR="001C75E9">
        <w:rPr>
          <w:lang w:val="ru-RU"/>
        </w:rPr>
        <w:t>деятельности Ассоциации</w:t>
      </w:r>
      <w:r>
        <w:t xml:space="preserve">, а равно повышения значимости в научном мире </w:t>
      </w:r>
      <w:proofErr w:type="spellStart"/>
      <w:r>
        <w:t>МАТГиП</w:t>
      </w:r>
      <w:proofErr w:type="spellEnd"/>
      <w:r>
        <w:t>, как центральной организации взаимодействия теоретиков государства и права в Российской Федерации.</w:t>
      </w:r>
    </w:p>
    <w:p w:rsidR="00016867" w:rsidRDefault="00016867">
      <w:pPr>
        <w:contextualSpacing w:val="0"/>
        <w:jc w:val="both"/>
      </w:pPr>
    </w:p>
    <w:p w:rsidR="00016867" w:rsidRDefault="00A00A4F">
      <w:pPr>
        <w:ind w:firstLine="720"/>
        <w:contextualSpacing w:val="0"/>
        <w:jc w:val="both"/>
        <w:rPr>
          <w:b/>
        </w:rPr>
      </w:pPr>
      <w:r>
        <w:t xml:space="preserve">1. </w:t>
      </w:r>
      <w:r>
        <w:rPr>
          <w:b/>
        </w:rPr>
        <w:t xml:space="preserve">Национальный реестр тем диссертационных сочинений по теории государства и права. </w:t>
      </w:r>
    </w:p>
    <w:p w:rsidR="001C75E9" w:rsidRDefault="00A00A4F">
      <w:pPr>
        <w:ind w:firstLine="720"/>
        <w:contextualSpacing w:val="0"/>
        <w:jc w:val="both"/>
        <w:rPr>
          <w:lang w:val="ru-RU"/>
        </w:rPr>
      </w:pPr>
      <w:proofErr w:type="gramStart"/>
      <w:r>
        <w:t xml:space="preserve">Предлагаем в целях облегчения выбора тем диссертационных работ по научной специальности 12.0.01 “Теория и история права и государства; история учений о праве и государстве” организовать ведение </w:t>
      </w:r>
      <w:r w:rsidR="001C75E9">
        <w:rPr>
          <w:lang w:val="ru-RU"/>
        </w:rPr>
        <w:t>А</w:t>
      </w:r>
      <w:r>
        <w:t xml:space="preserve">ссоциацией национального реестра тем кандидатских и докторских диссертаций выполняемых в образовательных и научных организациях Российской Федерации (с указанием ФИО соискателей, а также научных руководителей/консультантов). </w:t>
      </w:r>
      <w:proofErr w:type="gramEnd"/>
    </w:p>
    <w:p w:rsidR="00016867" w:rsidRDefault="00A00A4F">
      <w:pPr>
        <w:ind w:firstLine="720"/>
        <w:contextualSpacing w:val="0"/>
        <w:jc w:val="both"/>
      </w:pPr>
      <w:r>
        <w:t xml:space="preserve">Для этого, предлагаем размещать на сайте </w:t>
      </w:r>
      <w:r w:rsidR="001C75E9">
        <w:rPr>
          <w:lang w:val="ru-RU"/>
        </w:rPr>
        <w:t>А</w:t>
      </w:r>
      <w:proofErr w:type="spellStart"/>
      <w:r>
        <w:t>ссоциации</w:t>
      </w:r>
      <w:proofErr w:type="spellEnd"/>
      <w:r>
        <w:t xml:space="preserve"> файл в формате электронной таблицы </w:t>
      </w:r>
      <w:proofErr w:type="spellStart"/>
      <w:r>
        <w:t>Excel</w:t>
      </w:r>
      <w:proofErr w:type="spellEnd"/>
      <w:r>
        <w:t xml:space="preserve">, а в образовательные и научные организации направить письмо с предложением направить информацию о темах подготавливаемых диссертационных </w:t>
      </w:r>
      <w:r w:rsidR="001C75E9">
        <w:rPr>
          <w:lang w:val="ru-RU"/>
        </w:rPr>
        <w:t>исследований</w:t>
      </w:r>
      <w:r>
        <w:t>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 xml:space="preserve">2. </w:t>
      </w:r>
      <w:r>
        <w:rPr>
          <w:b/>
        </w:rPr>
        <w:t>Ежегодник научных трудов.</w:t>
      </w:r>
    </w:p>
    <w:p w:rsidR="00A00A4F" w:rsidRDefault="00A00A4F">
      <w:pPr>
        <w:ind w:firstLine="720"/>
        <w:contextualSpacing w:val="0"/>
        <w:jc w:val="both"/>
        <w:rPr>
          <w:lang w:val="ru-RU"/>
        </w:rPr>
      </w:pPr>
      <w:r>
        <w:t xml:space="preserve">Предлагаем в целях фиксации достижений российских ученых в области теории государства и права издавать ежегодник научных трудов по теории государства и права. В данное издание размещать не более одной статьи одного автора, знаменующей собой наиболее яркое достижение автора в науке теории государства и права в течение года. Материалы, </w:t>
      </w:r>
      <w:proofErr w:type="gramStart"/>
      <w:r>
        <w:t>для</w:t>
      </w:r>
      <w:proofErr w:type="gramEnd"/>
      <w:r>
        <w:t xml:space="preserve"> включение в ежегодник должны быть рекомендованы региональными отделениями </w:t>
      </w:r>
      <w:proofErr w:type="spellStart"/>
      <w:r>
        <w:t>МАТГиП</w:t>
      </w:r>
      <w:proofErr w:type="spellEnd"/>
      <w:r>
        <w:t xml:space="preserve"> и одобрены Конференцией </w:t>
      </w:r>
      <w:proofErr w:type="spellStart"/>
      <w:r>
        <w:t>МАТГиП</w:t>
      </w:r>
      <w:proofErr w:type="spellEnd"/>
      <w:r>
        <w:t xml:space="preserve">. </w:t>
      </w:r>
    </w:p>
    <w:p w:rsidR="00016867" w:rsidRDefault="001C75E9">
      <w:pPr>
        <w:ind w:firstLine="720"/>
        <w:contextualSpacing w:val="0"/>
        <w:jc w:val="both"/>
      </w:pPr>
      <w:r>
        <w:rPr>
          <w:lang w:val="ru-RU"/>
        </w:rPr>
        <w:t>Включение</w:t>
      </w:r>
      <w:r w:rsidR="00A00A4F">
        <w:t xml:space="preserve"> в данный ежегодник должно означать высокий уровень оценки вклада автора в науку</w:t>
      </w:r>
      <w:r>
        <w:rPr>
          <w:lang w:val="ru-RU"/>
        </w:rPr>
        <w:t xml:space="preserve"> теории государства и права</w:t>
      </w:r>
      <w:r w:rsidR="00A00A4F">
        <w:t>. Полагаем, что вопрос об издании такого сборника необходимо согласовать с основными научными школами Российской Федерации, а его выпуск предложить одному из крупных издательств.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 xml:space="preserve">3. </w:t>
      </w:r>
      <w:r>
        <w:rPr>
          <w:b/>
        </w:rPr>
        <w:t>Банк данных квалифицированных рецензентов научных работ.</w:t>
      </w:r>
    </w:p>
    <w:p w:rsidR="001C75E9" w:rsidRDefault="00A00A4F">
      <w:pPr>
        <w:ind w:firstLine="720"/>
        <w:contextualSpacing w:val="0"/>
        <w:jc w:val="both"/>
        <w:rPr>
          <w:lang w:val="ru-RU"/>
        </w:rPr>
      </w:pPr>
      <w:r>
        <w:t xml:space="preserve">Предлагаем, в целях повышения эффективности размещения научных статей в журналах перечня ВАК, а равно в целях повышения качества научных статей в области теории государства и права создать </w:t>
      </w:r>
      <w:r w:rsidR="001C75E9" w:rsidRPr="001C75E9">
        <w:rPr>
          <w:i/>
          <w:lang w:val="ru-RU"/>
        </w:rPr>
        <w:t>Н</w:t>
      </w:r>
      <w:proofErr w:type="spellStart"/>
      <w:r w:rsidRPr="001C75E9">
        <w:rPr>
          <w:i/>
        </w:rPr>
        <w:t>ациональный</w:t>
      </w:r>
      <w:proofErr w:type="spellEnd"/>
      <w:r w:rsidRPr="001C75E9">
        <w:rPr>
          <w:i/>
        </w:rPr>
        <w:t xml:space="preserve"> реестр научных направлений в области теории государства и права</w:t>
      </w:r>
      <w:r>
        <w:t xml:space="preserve">. Члены ассоциации и желающие ученые могут сообщать ассоциации сведения о статьях по теории государства и права, опубликованных в журналах перечня ВАК,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WoS</w:t>
      </w:r>
      <w:proofErr w:type="spellEnd"/>
      <w:r>
        <w:t xml:space="preserve"> и иных </w:t>
      </w:r>
      <w:proofErr w:type="spellStart"/>
      <w:r>
        <w:t>наукометрических</w:t>
      </w:r>
      <w:proofErr w:type="spellEnd"/>
      <w:r>
        <w:t xml:space="preserve"> системах рецензируемых журналов. После анализа данной информации можно создать базу в формате электронной таблицы </w:t>
      </w:r>
      <w:proofErr w:type="spellStart"/>
      <w:r>
        <w:t>Excel</w:t>
      </w:r>
      <w:proofErr w:type="spellEnd"/>
      <w:r w:rsidR="001C75E9">
        <w:rPr>
          <w:lang w:val="ru-RU"/>
        </w:rPr>
        <w:t>,</w:t>
      </w:r>
      <w:r>
        <w:t xml:space="preserve"> в которой указывать Ф.И.О. автора, его ученую степень и научное звание, почетные звания и основные направления (темы) по которым данный ученый может выступать в качестве рецензента статей в журналах перечня ВАК. </w:t>
      </w:r>
    </w:p>
    <w:p w:rsidR="00016867" w:rsidRDefault="00A00A4F">
      <w:pPr>
        <w:ind w:firstLine="720"/>
        <w:contextualSpacing w:val="0"/>
        <w:jc w:val="both"/>
      </w:pPr>
      <w:r>
        <w:t xml:space="preserve">В таком случае журналы перечня ВАК смогут подбирать наиболее компетентных рецензентов по узкоспециализированным темам. При этом заявки на </w:t>
      </w:r>
      <w:r>
        <w:lastRenderedPageBreak/>
        <w:t xml:space="preserve">рецензии можно будет направлять через механизмы коммуникации </w:t>
      </w:r>
      <w:proofErr w:type="spellStart"/>
      <w:r>
        <w:t>МАТГиП</w:t>
      </w:r>
      <w:proofErr w:type="spellEnd"/>
      <w:r>
        <w:t xml:space="preserve">. Это сделает </w:t>
      </w:r>
      <w:r w:rsidR="001C75E9">
        <w:rPr>
          <w:lang w:val="ru-RU"/>
        </w:rPr>
        <w:t>А</w:t>
      </w:r>
      <w:proofErr w:type="spellStart"/>
      <w:r>
        <w:t>ссоциацию</w:t>
      </w:r>
      <w:proofErr w:type="spellEnd"/>
      <w:r>
        <w:t xml:space="preserve"> чрезвычайно интересной научным журналам. Дополнительное использование подобного рода Банка данных возможно в связи с поиском научных руководителей/консультантов</w:t>
      </w:r>
      <w:r w:rsidR="001C75E9">
        <w:rPr>
          <w:lang w:val="ru-RU"/>
        </w:rPr>
        <w:t>/официальных оппонентов</w:t>
      </w:r>
      <w:r>
        <w:t xml:space="preserve"> соискателями.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>4.</w:t>
      </w:r>
      <w:r>
        <w:rPr>
          <w:b/>
        </w:rPr>
        <w:t xml:space="preserve"> Антикоррупционная экспертиза.</w:t>
      </w:r>
    </w:p>
    <w:p w:rsidR="00016867" w:rsidRDefault="00A00A4F">
      <w:pPr>
        <w:ind w:firstLine="720"/>
        <w:contextualSpacing w:val="0"/>
        <w:jc w:val="both"/>
      </w:pPr>
      <w:r>
        <w:t xml:space="preserve">Предлагаем направить документы в Министерство Юстиции Российской Федерации для получения права проведения общественной антикоррупционной экспертизы нормативных правовых актов и их проектов. Получение такой лицензии для </w:t>
      </w:r>
      <w:r w:rsidR="001C75E9">
        <w:rPr>
          <w:lang w:val="ru-RU"/>
        </w:rPr>
        <w:t>А</w:t>
      </w:r>
      <w:proofErr w:type="spellStart"/>
      <w:r>
        <w:t>ссоциации</w:t>
      </w:r>
      <w:proofErr w:type="spellEnd"/>
      <w:r>
        <w:t xml:space="preserve"> позволит более просто заходить на некоторые виды грантов, станет механизмом, обеспечивающим интерес к </w:t>
      </w:r>
      <w:r w:rsidR="001C75E9">
        <w:rPr>
          <w:lang w:val="ru-RU"/>
        </w:rPr>
        <w:t>А</w:t>
      </w:r>
      <w:proofErr w:type="spellStart"/>
      <w:r>
        <w:t>ссоциации</w:t>
      </w:r>
      <w:proofErr w:type="spellEnd"/>
      <w:r>
        <w:t xml:space="preserve"> со стороны третьих лиц, позволит создать новые информ</w:t>
      </w:r>
      <w:r w:rsidR="001C75E9">
        <w:t xml:space="preserve">ационные поводы о деятельности </w:t>
      </w:r>
      <w:r w:rsidR="001C75E9">
        <w:rPr>
          <w:lang w:val="ru-RU"/>
        </w:rPr>
        <w:t>А</w:t>
      </w:r>
      <w:proofErr w:type="spellStart"/>
      <w:r>
        <w:t>ссоциации</w:t>
      </w:r>
      <w:proofErr w:type="spellEnd"/>
      <w:r>
        <w:t>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 xml:space="preserve">5. </w:t>
      </w:r>
      <w:r>
        <w:rPr>
          <w:b/>
        </w:rPr>
        <w:t>Национальный депозитарий научных работ.</w:t>
      </w:r>
    </w:p>
    <w:p w:rsidR="00A00A4F" w:rsidRDefault="00A00A4F">
      <w:pPr>
        <w:ind w:firstLine="720"/>
        <w:contextualSpacing w:val="0"/>
        <w:jc w:val="both"/>
        <w:rPr>
          <w:lang w:val="ru-RU"/>
        </w:rPr>
      </w:pPr>
      <w:r>
        <w:t xml:space="preserve">Ассоциация могла бы стать национальным депозитарием научных работ по научной специальности 12.00.01. Ассоциация могла бы принимать в электронной форме копии рукописей авторов, направляемых в советы, издательства или в редакции журналов. При приеме рукописи, лицу, направившему ее должен выдаваться электронный сертификат. </w:t>
      </w:r>
    </w:p>
    <w:p w:rsidR="00016867" w:rsidRDefault="00A00A4F">
      <w:pPr>
        <w:ind w:firstLine="720"/>
        <w:contextualSpacing w:val="0"/>
        <w:jc w:val="both"/>
      </w:pPr>
      <w:r>
        <w:t xml:space="preserve">Направление в депозитарий рукописи позволило бы подтверждать факт наличие текста по состоянию на дату направления рукописи, стал бы доказательством </w:t>
      </w:r>
      <w:proofErr w:type="gramStart"/>
      <w:r>
        <w:t>при</w:t>
      </w:r>
      <w:proofErr w:type="gramEnd"/>
      <w:r>
        <w:t xml:space="preserve"> рассмотрения споров </w:t>
      </w:r>
      <w:r w:rsidR="001C75E9">
        <w:t>об</w:t>
      </w:r>
      <w:r>
        <w:t xml:space="preserve"> авторском приоритете. Дополнительное использование депозитария - создание единой общедоступной </w:t>
      </w:r>
      <w:proofErr w:type="spellStart"/>
      <w:r>
        <w:t>источниковой</w:t>
      </w:r>
      <w:proofErr w:type="spellEnd"/>
      <w:r>
        <w:t xml:space="preserve"> базы для подготовки различных работ, не исключая и диссертационные исследования.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>6.</w:t>
      </w:r>
      <w:r>
        <w:rPr>
          <w:b/>
        </w:rPr>
        <w:t xml:space="preserve"> Электронный дайджест.</w:t>
      </w:r>
    </w:p>
    <w:p w:rsidR="00016867" w:rsidRDefault="00A00A4F">
      <w:pPr>
        <w:ind w:firstLine="720"/>
        <w:contextualSpacing w:val="0"/>
        <w:jc w:val="both"/>
      </w:pPr>
      <w:r>
        <w:t xml:space="preserve">Целесообразно осуществлять подготовку электронных дайджестов научной литературы по теории государства и права вышедшей в Российской Федерации по группам: учебники и учебные пособия, монографии, статьи в периодических печатных изданиях. Для целей подготовки такого дайджеста целесообразно связаться </w:t>
      </w:r>
      <w:proofErr w:type="gramStart"/>
      <w:r>
        <w:t>с изданиями с запросом направления в электронной форме содержания новых номеров журналов для размещения в таких дайджестах</w:t>
      </w:r>
      <w:proofErr w:type="gramEnd"/>
      <w:r>
        <w:t>. Распространение дайджестов целесообразно осуществлять по подписке между членами ассоциации. Заинтересовать соответствующие издательства можно перспективой привлечения потенциальных авторов, желающих издать свои рукописи в месте публикации, о котором им стало известно из дайджестов.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 xml:space="preserve">7. </w:t>
      </w:r>
      <w:r>
        <w:rPr>
          <w:b/>
        </w:rPr>
        <w:t>Площадка представления учебных продуктов.</w:t>
      </w:r>
    </w:p>
    <w:p w:rsidR="00A00A4F" w:rsidRDefault="00A00A4F">
      <w:pPr>
        <w:ind w:firstLine="720"/>
        <w:contextualSpacing w:val="0"/>
        <w:jc w:val="both"/>
        <w:rPr>
          <w:lang w:val="ru-RU"/>
        </w:rPr>
      </w:pPr>
      <w:r>
        <w:t xml:space="preserve">Ассоциация должна стать механизмом сопряжения интересов профессионального сообщества и потребителей услуг (т.е. преподавателей теории государства и права и обучающихся). Для этой цели предлагаем на сайте ассоциации выставлять краткие информационные </w:t>
      </w:r>
      <w:proofErr w:type="gramStart"/>
      <w:r>
        <w:t>блоки</w:t>
      </w:r>
      <w:proofErr w:type="gramEnd"/>
      <w:r>
        <w:t xml:space="preserve"> посвященные магистерским программам по теории государства и права, а также программ по повышению квалификации, профессиональной переподготовки, обучению в аспирантуре (все программы должны быть направлены на изучение теории государства и права). В таком случае, ассоциация может привлечь внимание как ВУЗов, за счет рекламной деятельности, так и широких кругов молодежи, желающих обучаться по программам, связанным с теорией государства и права. </w:t>
      </w:r>
    </w:p>
    <w:p w:rsidR="00016867" w:rsidRDefault="00A00A4F">
      <w:pPr>
        <w:ind w:firstLine="720"/>
        <w:contextualSpacing w:val="0"/>
        <w:jc w:val="both"/>
      </w:pPr>
      <w:r>
        <w:t xml:space="preserve">На начальном этапе возможно создание общей концепции формирования магистратур с уклоном на теорию государства и права в ведущих </w:t>
      </w:r>
      <w:r>
        <w:rPr>
          <w:lang w:val="ru-RU"/>
        </w:rPr>
        <w:t xml:space="preserve">научных </w:t>
      </w:r>
      <w:r>
        <w:t xml:space="preserve">юридических школах России с привлечением широкого круга потенциальных научных </w:t>
      </w:r>
      <w:r>
        <w:lastRenderedPageBreak/>
        <w:t>руководителей, обладающих необходимым статусом и интересами для инициирования создания подобных магистратур на базе аккредитованных вузов.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t xml:space="preserve">8. </w:t>
      </w:r>
      <w:r>
        <w:rPr>
          <w:b/>
        </w:rPr>
        <w:t>Общенациональная акция по теории права.</w:t>
      </w:r>
    </w:p>
    <w:p w:rsidR="00A00A4F" w:rsidRDefault="00A00A4F">
      <w:pPr>
        <w:ind w:firstLine="720"/>
        <w:contextualSpacing w:val="0"/>
        <w:jc w:val="both"/>
        <w:rPr>
          <w:lang w:val="ru-RU"/>
        </w:rPr>
      </w:pPr>
      <w:r>
        <w:t xml:space="preserve">В настоящее время очень популярными являются форматы массовых образовательных проектов для широких кругов населения. К числу таких акций относятся, например “тотальный диктант”, “исторический диктант”, “географический диктант”. Учитывая, что право является важной составляющей жизни общества, а теория государства и права краеугольным камнем права целесообразно, совместно с рядом других объединений  организовать широкоформатное мероприятие по привлечению внимания граждан к изучению основ права. Это позволит широко проинформировать о существовании ассоциации, позволит организовать широкий контакт с ВУЗами. </w:t>
      </w:r>
    </w:p>
    <w:p w:rsidR="00016867" w:rsidRDefault="00A00A4F">
      <w:pPr>
        <w:ind w:firstLine="720"/>
        <w:contextualSpacing w:val="0"/>
        <w:jc w:val="both"/>
      </w:pPr>
      <w:r>
        <w:t xml:space="preserve">В перспективе, призовые </w:t>
      </w:r>
      <w:proofErr w:type="gramStart"/>
      <w:r>
        <w:t>места</w:t>
      </w:r>
      <w:proofErr w:type="gramEnd"/>
      <w:r>
        <w:t xml:space="preserve"> полученные на данном мероприятии можно по согласованию с Министерством и ведущими ВУЗами засчитывать в счет личных достижений при поступлении на обучения по программам </w:t>
      </w:r>
      <w:proofErr w:type="spellStart"/>
      <w:r>
        <w:t>бакалавриата</w:t>
      </w:r>
      <w:proofErr w:type="spellEnd"/>
      <w:r>
        <w:t>/</w:t>
      </w:r>
      <w:proofErr w:type="spellStart"/>
      <w:r>
        <w:t>специалитета</w:t>
      </w:r>
      <w:proofErr w:type="spellEnd"/>
      <w:r>
        <w:t>/магистратуры. При этом реализация такого проекта возможна только и исключительно при условии получения гранта.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rPr>
          <w:b/>
        </w:rPr>
        <w:t>9. Совершенствование наградной системы в Ассоциации</w:t>
      </w:r>
    </w:p>
    <w:p w:rsidR="00016867" w:rsidRDefault="00A00A4F">
      <w:pPr>
        <w:ind w:firstLine="720"/>
        <w:contextualSpacing w:val="0"/>
        <w:jc w:val="both"/>
      </w:pPr>
      <w:r>
        <w:t xml:space="preserve">Укрепление корпоративного духа членов Ассоциации, а также ее “положительного образа” в сторонних организациях и органах возможно за счет учреждения соответствующих наград различного уровня, свидетельствующих о реальных достижениях конкретных лиц в области теории государства и права. Присуждение и вручение отдельных наград возможно лишь на основе решения специальной комиссии при </w:t>
      </w:r>
      <w:proofErr w:type="spellStart"/>
      <w:r>
        <w:t>МАТГиП</w:t>
      </w:r>
      <w:proofErr w:type="spellEnd"/>
      <w:r>
        <w:t>, другие (грамоты, благодарности) можно вручать на основе решений единоличных органов.</w:t>
      </w:r>
    </w:p>
    <w:p w:rsidR="00016867" w:rsidRDefault="00A00A4F">
      <w:pPr>
        <w:ind w:firstLine="720"/>
        <w:contextualSpacing w:val="0"/>
        <w:jc w:val="both"/>
        <w:rPr>
          <w:b/>
        </w:rPr>
      </w:pPr>
      <w:r>
        <w:rPr>
          <w:b/>
        </w:rPr>
        <w:t>10. Формирование единой открытой площадки для общения теоретиков государства и права</w:t>
      </w:r>
    </w:p>
    <w:p w:rsidR="00016867" w:rsidRPr="00AE073C" w:rsidRDefault="00A00A4F">
      <w:pPr>
        <w:ind w:firstLine="720"/>
        <w:contextualSpacing w:val="0"/>
        <w:jc w:val="both"/>
        <w:rPr>
          <w:lang w:val="ru-RU"/>
        </w:rPr>
      </w:pPr>
      <w:r>
        <w:t xml:space="preserve">Подразумевается создание на основе сайта Ассоциации или другого </w:t>
      </w:r>
      <w:proofErr w:type="gramStart"/>
      <w:r>
        <w:t>интернет-портала</w:t>
      </w:r>
      <w:proofErr w:type="gramEnd"/>
      <w:r>
        <w:t xml:space="preserve"> электронной площадки для общения/взаимодействия между теоретиками государства и права по всему миру. Данный портал может служить основной </w:t>
      </w:r>
      <w:r w:rsidRPr="00AE073C">
        <w:t>информационной базой для реализации предложенных выше пунктов 1-3, 5-7. Концепцию, содержание и форма подобной площадки необходимо тщательно продумать, а ее организацию поручить наиболее ответственным и сведущим коллегам.</w:t>
      </w:r>
    </w:p>
    <w:p w:rsidR="00205DA6" w:rsidRPr="00AE073C" w:rsidRDefault="00205DA6">
      <w:pPr>
        <w:ind w:firstLine="720"/>
        <w:contextualSpacing w:val="0"/>
        <w:jc w:val="both"/>
        <w:rPr>
          <w:b/>
          <w:lang w:val="ru-RU"/>
        </w:rPr>
      </w:pPr>
      <w:r w:rsidRPr="00AE073C">
        <w:rPr>
          <w:b/>
          <w:lang w:val="ru-RU"/>
        </w:rPr>
        <w:t xml:space="preserve">11. Введение </w:t>
      </w:r>
      <w:r w:rsidR="00E3742B" w:rsidRPr="00AE073C">
        <w:rPr>
          <w:b/>
          <w:lang w:val="ru-RU"/>
        </w:rPr>
        <w:t>академической мобильности (</w:t>
      </w:r>
      <w:proofErr w:type="spellStart"/>
      <w:r w:rsidRPr="00AE073C">
        <w:rPr>
          <w:b/>
          <w:lang w:val="ru-RU"/>
        </w:rPr>
        <w:t>межкафедрального</w:t>
      </w:r>
      <w:proofErr w:type="spellEnd"/>
      <w:r w:rsidRPr="00AE073C">
        <w:rPr>
          <w:b/>
          <w:lang w:val="ru-RU"/>
        </w:rPr>
        <w:t xml:space="preserve"> обмена учеными-теоретиками государства и права в практику вузов</w:t>
      </w:r>
      <w:r w:rsidR="00E3742B" w:rsidRPr="00AE073C">
        <w:rPr>
          <w:b/>
          <w:lang w:val="ru-RU"/>
        </w:rPr>
        <w:t>)</w:t>
      </w:r>
    </w:p>
    <w:p w:rsidR="00205DA6" w:rsidRPr="00AE073C" w:rsidRDefault="00205DA6">
      <w:pPr>
        <w:ind w:firstLine="720"/>
        <w:contextualSpacing w:val="0"/>
        <w:jc w:val="both"/>
        <w:rPr>
          <w:lang w:val="ru-RU"/>
        </w:rPr>
      </w:pPr>
      <w:r w:rsidRPr="00AE073C">
        <w:rPr>
          <w:lang w:val="ru-RU"/>
        </w:rPr>
        <w:t xml:space="preserve">В целях оптимизации учебного процесса включить в практику вузов возможность </w:t>
      </w:r>
      <w:proofErr w:type="gramStart"/>
      <w:r w:rsidRPr="00AE073C">
        <w:rPr>
          <w:lang w:val="ru-RU"/>
        </w:rPr>
        <w:t>обмена</w:t>
      </w:r>
      <w:proofErr w:type="gramEnd"/>
      <w:r w:rsidRPr="00AE073C">
        <w:rPr>
          <w:lang w:val="ru-RU"/>
        </w:rPr>
        <w:t xml:space="preserve"> </w:t>
      </w:r>
      <w:r w:rsidR="001C75E9" w:rsidRPr="00AE073C">
        <w:rPr>
          <w:lang w:val="ru-RU"/>
        </w:rPr>
        <w:t xml:space="preserve">научными знаниями ведущих научных школ, используя потенциал </w:t>
      </w:r>
      <w:r w:rsidRPr="00AE073C">
        <w:rPr>
          <w:lang w:val="ru-RU"/>
        </w:rPr>
        <w:t>научно-преподавательск</w:t>
      </w:r>
      <w:r w:rsidR="001C75E9" w:rsidRPr="00AE073C">
        <w:rPr>
          <w:lang w:val="ru-RU"/>
        </w:rPr>
        <w:t>ого</w:t>
      </w:r>
      <w:r w:rsidRPr="00AE073C">
        <w:rPr>
          <w:lang w:val="ru-RU"/>
        </w:rPr>
        <w:t xml:space="preserve"> состав</w:t>
      </w:r>
      <w:r w:rsidR="001C75E9" w:rsidRPr="00AE073C">
        <w:rPr>
          <w:lang w:val="ru-RU"/>
        </w:rPr>
        <w:t>а кафедр</w:t>
      </w:r>
      <w:r w:rsidRPr="00AE073C">
        <w:rPr>
          <w:lang w:val="ru-RU"/>
        </w:rPr>
        <w:t xml:space="preserve"> на краткосрочный/долгосрочный период для чтения авторских лекций, учебных курсов (</w:t>
      </w:r>
      <w:proofErr w:type="spellStart"/>
      <w:r w:rsidRPr="00AE073C">
        <w:rPr>
          <w:lang w:val="ru-RU"/>
        </w:rPr>
        <w:t>бакалавриат</w:t>
      </w:r>
      <w:proofErr w:type="spellEnd"/>
      <w:r w:rsidRPr="00AE073C">
        <w:rPr>
          <w:lang w:val="ru-RU"/>
        </w:rPr>
        <w:t>/</w:t>
      </w:r>
      <w:proofErr w:type="spellStart"/>
      <w:r w:rsidRPr="00AE073C">
        <w:rPr>
          <w:lang w:val="ru-RU"/>
        </w:rPr>
        <w:t>специалитет</w:t>
      </w:r>
      <w:proofErr w:type="spellEnd"/>
      <w:r w:rsidRPr="00AE073C">
        <w:rPr>
          <w:lang w:val="ru-RU"/>
        </w:rPr>
        <w:t>/магистратура/аспирантура), проведения круглых столов, обмена опытом  и т.п.</w:t>
      </w:r>
    </w:p>
    <w:p w:rsidR="00205DA6" w:rsidRPr="00AE073C" w:rsidRDefault="00205DA6">
      <w:pPr>
        <w:ind w:firstLine="720"/>
        <w:contextualSpacing w:val="0"/>
        <w:jc w:val="both"/>
        <w:rPr>
          <w:b/>
          <w:lang w:val="ru-RU"/>
        </w:rPr>
      </w:pPr>
      <w:r w:rsidRPr="00AE073C">
        <w:rPr>
          <w:b/>
          <w:lang w:val="ru-RU"/>
        </w:rPr>
        <w:t xml:space="preserve">12. Развитие </w:t>
      </w:r>
      <w:r w:rsidR="00E3742B" w:rsidRPr="00AE073C">
        <w:rPr>
          <w:b/>
          <w:lang w:val="ru-RU"/>
        </w:rPr>
        <w:t>студенческой мобильности</w:t>
      </w:r>
    </w:p>
    <w:p w:rsidR="00016867" w:rsidRPr="00AE073C" w:rsidRDefault="00E3742B">
      <w:pPr>
        <w:ind w:firstLine="720"/>
        <w:contextualSpacing w:val="0"/>
        <w:jc w:val="both"/>
      </w:pPr>
      <w:r w:rsidRPr="00AE073C">
        <w:rPr>
          <w:color w:val="333333"/>
          <w:shd w:val="clear" w:color="auto" w:fill="FFFFFF"/>
          <w:lang w:val="ru-RU"/>
        </w:rPr>
        <w:t xml:space="preserve">Студенческая </w:t>
      </w:r>
      <w:r w:rsidRPr="00AE073C">
        <w:rPr>
          <w:color w:val="333333"/>
          <w:shd w:val="clear" w:color="auto" w:fill="FFFFFF"/>
        </w:rPr>
        <w:t xml:space="preserve">мобильность – это одно из важнейших направлений процесса </w:t>
      </w:r>
      <w:r w:rsidRPr="00AE073C">
        <w:rPr>
          <w:color w:val="333333"/>
          <w:shd w:val="clear" w:color="auto" w:fill="FFFFFF"/>
          <w:lang w:val="ru-RU"/>
        </w:rPr>
        <w:t xml:space="preserve">реализации </w:t>
      </w:r>
      <w:r w:rsidRPr="00AE073C">
        <w:rPr>
          <w:color w:val="333333"/>
          <w:shd w:val="clear" w:color="auto" w:fill="FFFFFF"/>
        </w:rPr>
        <w:t xml:space="preserve"> российским</w:t>
      </w:r>
      <w:r w:rsidRPr="00AE073C">
        <w:rPr>
          <w:color w:val="333333"/>
          <w:shd w:val="clear" w:color="auto" w:fill="FFFFFF"/>
          <w:lang w:val="ru-RU"/>
        </w:rPr>
        <w:t>и</w:t>
      </w:r>
      <w:r w:rsidRPr="00AE073C">
        <w:rPr>
          <w:color w:val="333333"/>
          <w:shd w:val="clear" w:color="auto" w:fill="FFFFFF"/>
        </w:rPr>
        <w:t xml:space="preserve"> вуз</w:t>
      </w:r>
      <w:r w:rsidRPr="00AE073C">
        <w:rPr>
          <w:color w:val="333333"/>
          <w:shd w:val="clear" w:color="auto" w:fill="FFFFFF"/>
          <w:lang w:val="ru-RU"/>
        </w:rPr>
        <w:t>ами национальной образовательной политики</w:t>
      </w:r>
      <w:r w:rsidRPr="00AE073C">
        <w:rPr>
          <w:color w:val="333333"/>
          <w:shd w:val="clear" w:color="auto" w:fill="FFFFFF"/>
        </w:rPr>
        <w:t xml:space="preserve"> в </w:t>
      </w:r>
      <w:r w:rsidRPr="00AE073C">
        <w:rPr>
          <w:color w:val="333333"/>
          <w:shd w:val="clear" w:color="auto" w:fill="FFFFFF"/>
          <w:lang w:val="ru-RU"/>
        </w:rPr>
        <w:t xml:space="preserve">условиях глобализации в </w:t>
      </w:r>
      <w:r w:rsidRPr="00AE073C">
        <w:rPr>
          <w:color w:val="333333"/>
          <w:shd w:val="clear" w:color="auto" w:fill="FFFFFF"/>
        </w:rPr>
        <w:t>международное образовательное пространство.</w:t>
      </w:r>
      <w:r w:rsidR="001C75E9" w:rsidRPr="00AE073C">
        <w:rPr>
          <w:color w:val="333333"/>
          <w:shd w:val="clear" w:color="auto" w:fill="FFFFFF"/>
          <w:lang w:val="ru-RU"/>
        </w:rPr>
        <w:t xml:space="preserve"> В этой связи разработать механизм реализации студенческой мобильности как внешней, так и внутренней.</w:t>
      </w:r>
      <w:bookmarkStart w:id="0" w:name="_GoBack"/>
      <w:bookmarkEnd w:id="0"/>
    </w:p>
    <w:sectPr w:rsidR="00016867" w:rsidRPr="00AE073C" w:rsidSect="001C75E9">
      <w:footerReference w:type="default" r:id="rId6"/>
      <w:pgSz w:w="11909" w:h="16834"/>
      <w:pgMar w:top="127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68" w:rsidRDefault="00705F68" w:rsidP="001C75E9">
      <w:pPr>
        <w:spacing w:line="240" w:lineRule="auto"/>
      </w:pPr>
      <w:r>
        <w:separator/>
      </w:r>
    </w:p>
  </w:endnote>
  <w:endnote w:type="continuationSeparator" w:id="0">
    <w:p w:rsidR="00705F68" w:rsidRDefault="00705F68" w:rsidP="001C7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967613"/>
      <w:docPartObj>
        <w:docPartGallery w:val="Page Numbers (Bottom of Page)"/>
        <w:docPartUnique/>
      </w:docPartObj>
    </w:sdtPr>
    <w:sdtContent>
      <w:p w:rsidR="001C75E9" w:rsidRDefault="007B20AB">
        <w:pPr>
          <w:pStyle w:val="a7"/>
          <w:jc w:val="center"/>
        </w:pPr>
        <w:r>
          <w:fldChar w:fldCharType="begin"/>
        </w:r>
        <w:r w:rsidR="001C75E9">
          <w:instrText>PAGE   \* MERGEFORMAT</w:instrText>
        </w:r>
        <w:r>
          <w:fldChar w:fldCharType="separate"/>
        </w:r>
        <w:r w:rsidR="00AE073C" w:rsidRPr="00AE073C">
          <w:rPr>
            <w:noProof/>
            <w:lang w:val="ru-RU"/>
          </w:rPr>
          <w:t>3</w:t>
        </w:r>
        <w:r>
          <w:fldChar w:fldCharType="end"/>
        </w:r>
      </w:p>
    </w:sdtContent>
  </w:sdt>
  <w:p w:rsidR="001C75E9" w:rsidRDefault="001C75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68" w:rsidRDefault="00705F68" w:rsidP="001C75E9">
      <w:pPr>
        <w:spacing w:line="240" w:lineRule="auto"/>
      </w:pPr>
      <w:r>
        <w:separator/>
      </w:r>
    </w:p>
  </w:footnote>
  <w:footnote w:type="continuationSeparator" w:id="0">
    <w:p w:rsidR="00705F68" w:rsidRDefault="00705F68" w:rsidP="001C75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67"/>
    <w:rsid w:val="00016867"/>
    <w:rsid w:val="001C75E9"/>
    <w:rsid w:val="00205DA6"/>
    <w:rsid w:val="00705F68"/>
    <w:rsid w:val="007B20AB"/>
    <w:rsid w:val="00A00A4F"/>
    <w:rsid w:val="00AE073C"/>
    <w:rsid w:val="00E3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0AB"/>
  </w:style>
  <w:style w:type="paragraph" w:styleId="1">
    <w:name w:val="heading 1"/>
    <w:basedOn w:val="a"/>
    <w:next w:val="a"/>
    <w:rsid w:val="007B20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B20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B20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B20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B20A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B20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20A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B20A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C75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E9"/>
  </w:style>
  <w:style w:type="paragraph" w:styleId="a7">
    <w:name w:val="footer"/>
    <w:basedOn w:val="a"/>
    <w:link w:val="a8"/>
    <w:uiPriority w:val="99"/>
    <w:unhideWhenUsed/>
    <w:rsid w:val="001C75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C75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E9"/>
  </w:style>
  <w:style w:type="paragraph" w:styleId="a7">
    <w:name w:val="footer"/>
    <w:basedOn w:val="a"/>
    <w:link w:val="a8"/>
    <w:uiPriority w:val="99"/>
    <w:unhideWhenUsed/>
    <w:rsid w:val="001C75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2018-11-19T19:12:00Z</dcterms:created>
  <dcterms:modified xsi:type="dcterms:W3CDTF">2018-11-20T00:57:00Z</dcterms:modified>
</cp:coreProperties>
</file>